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D7971B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关于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2026年瀑布流更新服务采购</w:t>
      </w:r>
    </w:p>
    <w:p w14:paraId="6D7B4D7A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市场调查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Hans"/>
        </w:rPr>
        <w:t>函</w:t>
      </w:r>
    </w:p>
    <w:p w14:paraId="4B8280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我单位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根据教学科研需要，需采购瀑布流更新服务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，现就该项目向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各相关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供应商进行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市场调查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。</w:t>
      </w:r>
    </w:p>
    <w:p w14:paraId="29EA5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一、项目基本情况</w:t>
      </w:r>
    </w:p>
    <w:p w14:paraId="3C5745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1.项目名称：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2026年图书馆瀑布流更新服务采购项目</w:t>
      </w:r>
    </w:p>
    <w:p w14:paraId="25902A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2项目地点：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江西陶瓷工艺美术职业技术学院</w:t>
      </w:r>
    </w:p>
    <w:p w14:paraId="175C77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cs="宋体" w:eastAsiaTheme="minorEastAsia"/>
          <w:color w:val="000000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3.项目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概况：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采购瀑布流更新服务，强化信息传播与资源触达能力，更好地满足师生实时、多元信息的获取需求。质量及服务时限：遵守知识产权及意识形态要求。服务期1年。</w:t>
      </w:r>
    </w:p>
    <w:p w14:paraId="26182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二、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调查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范围及内容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  <w:t>（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详见附件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  <w:t>）</w:t>
      </w:r>
    </w:p>
    <w:p w14:paraId="281A42F9">
      <w:pPr>
        <w:pStyle w:val="10"/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before="0" w:beforeLines="0" w:line="520" w:lineRule="exact"/>
        <w:ind w:firstLine="600" w:firstLineChars="200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30"/>
          <w:szCs w:val="30"/>
          <w:lang w:val="en-US" w:eastAsia="zh-CN"/>
        </w:rPr>
        <w:t>三、报送文件要求</w:t>
      </w:r>
    </w:p>
    <w:p w14:paraId="6277878A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20" w:lineRule="exact"/>
        <w:ind w:left="0" w:right="2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1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企业法人营业执照（复印件）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；</w:t>
      </w:r>
    </w:p>
    <w:p w14:paraId="654155B2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20" w:lineRule="exact"/>
        <w:ind w:left="0" w:right="2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报价文件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技术（服务）要求及商务要求响应文件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；</w:t>
      </w:r>
    </w:p>
    <w:p w14:paraId="73E9DB52">
      <w:pPr>
        <w:pStyle w:val="9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bidi w:val="0"/>
        <w:adjustRightInd w:val="0"/>
        <w:spacing w:before="0" w:beforeAutospacing="0" w:after="0" w:afterAutospacing="0" w:line="520" w:lineRule="exact"/>
        <w:ind w:left="0" w:right="813" w:firstLine="600" w:firstLineChars="200"/>
        <w:jc w:val="lef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资质证书（复印件）。</w:t>
      </w:r>
    </w:p>
    <w:p w14:paraId="41FE1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四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、报送时间</w:t>
      </w:r>
    </w:p>
    <w:p w14:paraId="597924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1.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调查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函回函文件电子稿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请于202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03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30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17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时前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发送至邮箱2536772978@qq.com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纸质稿请于2026年4月2日17时前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以快件投递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（送到图书馆）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或直接送达方式送达（拒绝接受超时送达的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>调查函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Hans" w:bidi="ar"/>
        </w:rPr>
        <w:t>）。</w:t>
      </w:r>
    </w:p>
    <w:p w14:paraId="220C9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2.联系人及联系方式</w:t>
      </w:r>
    </w:p>
    <w:p w14:paraId="725CF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 xml:space="preserve">胡老师 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联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Hans"/>
        </w:rPr>
        <w:t>系电话：（0798）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8416671或17610830782</w:t>
      </w:r>
    </w:p>
    <w:p w14:paraId="62DAF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20" w:lineRule="exact"/>
        <w:ind w:firstLine="60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地址：江西省景德镇市浮梁工美大道666号</w:t>
      </w:r>
    </w:p>
    <w:p w14:paraId="71BE2501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20" w:lineRule="exact"/>
        <w:jc w:val="right"/>
        <w:rPr>
          <w:rFonts w:hint="eastAsia" w:ascii="宋体" w:hAnsi="宋体" w:eastAsia="宋体" w:cs="宋体"/>
          <w:color w:val="000000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江西陶瓷工艺美术职业技术学院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图书馆</w:t>
      </w:r>
    </w:p>
    <w:p w14:paraId="50945F73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 w:val="0"/>
        <w:spacing w:line="520" w:lineRule="exact"/>
        <w:ind w:firstLine="600" w:firstLineChars="200"/>
        <w:jc w:val="right"/>
        <w:rPr>
          <w:rFonts w:hint="eastAsia" w:ascii="宋体" w:hAnsi="宋体" w:eastAsia="宋体" w:cs="宋体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 xml:space="preserve">                                202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年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03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月</w:t>
      </w:r>
      <w:r>
        <w:rPr>
          <w:rFonts w:hint="eastAsia" w:ascii="宋体" w:hAnsi="宋体" w:eastAsia="宋体" w:cs="宋体"/>
          <w:color w:val="000000"/>
          <w:sz w:val="30"/>
          <w:szCs w:val="30"/>
          <w:lang w:val="en-US" w:eastAsia="zh-CN"/>
        </w:rPr>
        <w:t>25</w:t>
      </w:r>
      <w:r>
        <w:rPr>
          <w:rFonts w:hint="eastAsia" w:ascii="宋体" w:hAnsi="宋体" w:eastAsia="宋体" w:cs="宋体"/>
          <w:color w:val="000000"/>
          <w:sz w:val="30"/>
          <w:szCs w:val="30"/>
          <w:lang w:eastAsia="zh-Hans"/>
        </w:rPr>
        <w:t>日</w:t>
      </w:r>
    </w:p>
    <w:p w14:paraId="09062E7F"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20" w:lineRule="exact"/>
        <w:rPr>
          <w:rFonts w:hint="eastAsia"/>
          <w:sz w:val="30"/>
          <w:szCs w:val="30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1B8D90FE"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2026年瀑布流更新服务采购市场调查函</w:t>
      </w:r>
    </w:p>
    <w:p w14:paraId="4F0C8D29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 名 称（盖  章）：图书馆</w:t>
      </w:r>
    </w:p>
    <w:p w14:paraId="6C078A44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使用（牵头）部门发 起 调查函时间：2026年3月25日</w:t>
      </w:r>
    </w:p>
    <w:p w14:paraId="1A2FDC43">
      <w:pPr>
        <w:jc w:val="left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使用（牵头）部门经办人及联系电话：胡老师 17610830782</w:t>
      </w:r>
    </w:p>
    <w:tbl>
      <w:tblPr>
        <w:tblStyle w:val="12"/>
        <w:tblW w:w="10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2"/>
        <w:gridCol w:w="4671"/>
        <w:gridCol w:w="1440"/>
        <w:gridCol w:w="92"/>
        <w:gridCol w:w="2099"/>
      </w:tblGrid>
      <w:tr w14:paraId="148CA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646AD0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设备（服务）</w:t>
            </w:r>
          </w:p>
          <w:p w14:paraId="22BC9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名称</w:t>
            </w:r>
          </w:p>
        </w:tc>
        <w:tc>
          <w:tcPr>
            <w:tcW w:w="4671" w:type="dxa"/>
            <w:vAlign w:val="center"/>
          </w:tcPr>
          <w:p w14:paraId="74718F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瀑布流更新服务</w:t>
            </w:r>
          </w:p>
        </w:tc>
        <w:tc>
          <w:tcPr>
            <w:tcW w:w="1440" w:type="dxa"/>
            <w:vAlign w:val="center"/>
          </w:tcPr>
          <w:p w14:paraId="21B57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  <w:p w14:paraId="2D300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（单位）</w:t>
            </w:r>
          </w:p>
        </w:tc>
        <w:tc>
          <w:tcPr>
            <w:tcW w:w="2191" w:type="dxa"/>
            <w:gridSpan w:val="2"/>
            <w:vAlign w:val="center"/>
          </w:tcPr>
          <w:p w14:paraId="52270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1年</w:t>
            </w:r>
          </w:p>
        </w:tc>
      </w:tr>
      <w:tr w14:paraId="56D9C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2002" w:type="dxa"/>
            <w:vAlign w:val="center"/>
          </w:tcPr>
          <w:p w14:paraId="660AF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规格参数要求（包含技术要求、商务要求）</w:t>
            </w:r>
          </w:p>
        </w:tc>
        <w:tc>
          <w:tcPr>
            <w:tcW w:w="8302" w:type="dxa"/>
            <w:gridSpan w:val="4"/>
            <w:vAlign w:val="center"/>
          </w:tcPr>
          <w:p w14:paraId="353A0870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textAlignment w:val="auto"/>
              <w:rPr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技术要求：</w:t>
            </w:r>
          </w:p>
          <w:p w14:paraId="60125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</w:rPr>
              <w:t>一、电子图书功能</w:t>
            </w:r>
          </w:p>
          <w:p w14:paraId="05E51A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“扫一扫”便捷借阅，可在线阅读电子图书，也能通过智能终端扫描图书二维码，将图书下载至终端，实现随时随地阅读。</w:t>
            </w:r>
          </w:p>
          <w:p w14:paraId="01C400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图书支持PDF、EPUB两种</w:t>
            </w:r>
            <w:bookmarkStart w:id="0" w:name="_GoBack"/>
            <w:bookmarkEnd w:id="0"/>
            <w:r>
              <w:rPr>
                <w:rFonts w:hint="eastAsia"/>
                <w:color w:val="000000"/>
                <w:sz w:val="21"/>
                <w:szCs w:val="21"/>
              </w:rPr>
              <w:t>格式；其中EPUB格式图书搭载富媒体文本，支持图文混排，可最大限度保留出版图书原文原貌，无内容遗漏。</w:t>
            </w:r>
          </w:p>
          <w:p w14:paraId="6FDCFF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图书定制服务，可针对国家重大活动、节假日，结合时事热点推出相关专题图书。</w:t>
            </w:r>
          </w:p>
          <w:p w14:paraId="04D4F9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快速滑动控流功能，可上下控制图书的流动方向与速度。</w:t>
            </w:r>
          </w:p>
          <w:p w14:paraId="75D114C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每月定期更新优质好书、热门图书，更新数量不少于150本。</w:t>
            </w:r>
          </w:p>
          <w:p w14:paraId="295E0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</w:rPr>
              <w:t>二、名师讲坛资源</w:t>
            </w:r>
          </w:p>
          <w:p w14:paraId="22F84B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内置近400集名师讲坛资源，同时汇聚各领域名师大咖优质讲座，精选300集名师视频，覆盖国学子集、诗词歌赋、经济政治、文化旅游、科学常识等领域，最大限度满足到馆阅读、学习读者的不同层次需求。</w:t>
            </w:r>
          </w:p>
          <w:p w14:paraId="68E8BC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支持资源每日更新，全年更新高端讲座不少于365场，保障资源持续迭代更新。</w:t>
            </w:r>
          </w:p>
          <w:p w14:paraId="63AD31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每日讲座视频支持在线大屏端观看，也可通过终端设备扫码带走离线观看。</w:t>
            </w:r>
          </w:p>
          <w:p w14:paraId="4E9BBD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</w:rPr>
              <w:t>三、学习通专题功能</w:t>
            </w:r>
          </w:p>
          <w:p w14:paraId="5B4A9B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能够无缝对接展示学习通专题，学习通专题平台为功能完善的富媒体编辑平台，支持图片、文字、视频、音频等资源混排，可量身定制，满足图书馆个性化资源展示、宣传推广等需求。</w:t>
            </w:r>
          </w:p>
          <w:p w14:paraId="551FF3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专题支持在线大屏点击阅读，也可通过终端设备扫码带走离线阅读。</w:t>
            </w:r>
          </w:p>
          <w:p w14:paraId="4C3958C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搭建专题特色库，同时支持馆内自主创建专属专题。</w:t>
            </w:r>
          </w:p>
          <w:p w14:paraId="74E90F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</w:rPr>
              <w:t>四、期刊资源功能</w:t>
            </w:r>
          </w:p>
          <w:p w14:paraId="79E385E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精选优质大众期刊，涵盖文学艺术、时政军事、时事生活、财经管理等精品大类。</w:t>
            </w:r>
          </w:p>
          <w:p w14:paraId="584D97A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期刊在线阅读，也支持通过终端扫码收藏带走。</w:t>
            </w:r>
          </w:p>
          <w:p w14:paraId="1690A5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滑动翻页，查看期刊往期内容。</w:t>
            </w:r>
          </w:p>
          <w:p w14:paraId="3B847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</w:rPr>
              <w:t>五、瀑布屏展示配置</w:t>
            </w:r>
          </w:p>
          <w:p w14:paraId="5CE00E7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主题换肤功能，可结合不同场景、时节、热点，不定期上线主题瀑布流进行展示，包括但不限于党建瀑布流、新春瀑布流、端午瀑布流等，增添图书馆活力与氛围感。</w:t>
            </w:r>
          </w:p>
          <w:p w14:paraId="57274D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一键切换资源，可根据不同时期内容需求，实现瀑布流自定义化转变，同时支持瀑布屏智能分屏切换功能，实现数据自由组合搭配展示，以新颖形式推广资源、吸引读者参与阅读。</w:t>
            </w:r>
          </w:p>
          <w:p w14:paraId="0DF54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</w:rPr>
              <w:t>六、馆内特色资源展示</w:t>
            </w:r>
          </w:p>
          <w:p w14:paraId="34041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瀑布屏可适配各馆个性化需求，支持整合馆内珍藏古籍、纸质文献等各类资源（包括但不限于图片、视频、图书），如书法作品、名家绘画、活动影像等，也可对接场馆宣传资源，如宣传片、推广视频等，将上述资源数字化后推送展示，供读者学习观看。</w:t>
            </w:r>
          </w:p>
          <w:p w14:paraId="17B68CC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支持展示本地图片文件，兼容JPG、GIF、PNG等常用格式。</w:t>
            </w:r>
          </w:p>
          <w:p w14:paraId="55C7CB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点击图片可实现上一张、下一张翻页操作，同时支持图片放大查看。</w:t>
            </w:r>
          </w:p>
          <w:p w14:paraId="2F915E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支持单张图片、系列图片组两种展示模式。</w:t>
            </w:r>
          </w:p>
          <w:p w14:paraId="4F0ED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/>
                <w:b/>
                <w:bCs/>
                <w:color w:val="000000"/>
                <w:sz w:val="21"/>
                <w:szCs w:val="21"/>
              </w:rPr>
              <w:t>七、合规性要求</w:t>
            </w:r>
          </w:p>
          <w:p w14:paraId="4AF1CB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供应商所提供的全部电子数据库内容均为正版，若提供盗版资源，需承担相应法律责任。</w:t>
            </w:r>
          </w:p>
          <w:p w14:paraId="50203B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240" w:lineRule="auto"/>
              <w:textAlignment w:val="auto"/>
              <w:outlineLvl w:val="0"/>
              <w:rPr>
                <w:rFonts w:hint="eastAsia"/>
                <w:color w:val="000000"/>
                <w:sz w:val="21"/>
                <w:szCs w:val="21"/>
              </w:rPr>
            </w:pPr>
            <w:r>
              <w:rPr>
                <w:rFonts w:hint="eastAsia"/>
                <w:color w:val="000000"/>
                <w:sz w:val="21"/>
                <w:szCs w:val="21"/>
              </w:rPr>
              <w:t>供应商所提供的电子数据库内容，需完全符合意识形态相关管理规定，须按要求提供意识形态承诺书；若发现意识形态违规内容，需第一时间配合采购人整改处理。</w:t>
            </w:r>
          </w:p>
          <w:p w14:paraId="0844F2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beforeLines="50" w:after="156" w:afterLines="50" w:line="240" w:lineRule="auto"/>
              <w:textAlignment w:val="auto"/>
              <w:outlineLvl w:val="0"/>
              <w:rPr>
                <w:rFonts w:hint="eastAsia" w:cs="Times New Roman" w:asciiTheme="minorEastAsia" w:hAnsiTheme="minorEastAsia" w:eastAsiaTheme="minorEastAsia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vertAlign w:val="baseline"/>
                <w:lang w:val="en-US" w:eastAsia="zh-CN" w:bidi="ar-SA"/>
              </w:rPr>
              <w:t>商务要求：</w:t>
            </w:r>
          </w:p>
          <w:p w14:paraId="52DAC0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服务期（服务类采购项目适用）：自合同签署之日起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5  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个工作日内，成交供应商（乙方）应开始为采购人（甲方）提供服务，服务期以合同约定服务时间为准，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 xml:space="preserve"> 服务期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1年     </w:t>
            </w:r>
          </w:p>
          <w:p w14:paraId="356F369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售后服务：电话报修后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小时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内售后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服务、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8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小时内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能够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排除故障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，服务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期内以上服务产生的一切费用仅包含在报价（合同价）中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；</w:t>
            </w:r>
          </w:p>
          <w:p w14:paraId="40B0EA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服务标准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在项目实施过程及售后服务期内，项目供应商需指定专人负责与用户保持长期的联系与服务。供应商需承诺售后壹年（以合同约定服务时间为准） 的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硬件和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软件上门维护与升级服务。</w:t>
            </w:r>
          </w:p>
          <w:p w14:paraId="720F3B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验收标准：经采购人核查、测试，平台正常运行，满足采购合同技术参数要求均达标，试运行合格，即为验收通过；</w:t>
            </w:r>
          </w:p>
          <w:p w14:paraId="5338A6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付款方式：本项目履约保证金为合同金额的5%（人民币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，￥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）,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合同签订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时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乙方将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履约保证金转至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甲方指定帐户，货到甲方指定使用现场安装、调试、试运行合格并通过验收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后，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乙方按要求开具供货发票，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甲方于收到规范、合格的供货发票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后15个工作日内支付货款的100%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（人民币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，￥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none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，履约保证金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待履约完成后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无息返还。</w:t>
            </w:r>
          </w:p>
          <w:p w14:paraId="3F3D6FA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zh-CN"/>
              </w:rPr>
              <w:t>知识产权要求：供应商应保护采购人在使用该货物或其任何一部分时不受第 三方提出侵犯专利权、商标权、著作权或其它知识产权起诉的指控。如果任何第 三方提出侵权指控， 供应商须与第三方交涉并承担可能发生的一切法律责任和费 用。因此造成采购人损失的（包括但不限于直接损失及因此产生的商誉损失等间接损失）有权要求供应商予以赔偿。</w:t>
            </w:r>
          </w:p>
          <w:p w14:paraId="50349C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20" w:firstLineChars="200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意识形态要求：供应商承诺数据库不含有下列内容：</w:t>
            </w:r>
          </w:p>
          <w:p w14:paraId="04D96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(一)反对宪法所确定的基本原则的；</w:t>
            </w:r>
          </w:p>
          <w:p w14:paraId="02C8E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(二)危害国家安全，泄露国家秘密，颠覆国家政权，破坏国家统一的；</w:t>
            </w:r>
          </w:p>
          <w:p w14:paraId="2455D4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(三)损害国家荣誉和利益的；</w:t>
            </w:r>
          </w:p>
          <w:p w14:paraId="2C4392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(四)歪曲、丑化、亵渎、否定英雄烈士事迹和精神，以侮辱、诽谤或者其他方式侵害英雄烈士的姓名、肖像、名誉、荣誉的；</w:t>
            </w:r>
          </w:p>
          <w:p w14:paraId="3FDFD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(五)宣扬恐怖主义、极端主义或者煽动实施恐怖活动、极端主义活动的；</w:t>
            </w:r>
          </w:p>
          <w:p w14:paraId="62CB5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(六)煽动民族仇恨、民族歧视，破坏民族团结的；</w:t>
            </w:r>
          </w:p>
          <w:p w14:paraId="6E3F1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(七)破坏国家宗教政策，宣扬邪教和封建迷信的；</w:t>
            </w:r>
          </w:p>
          <w:p w14:paraId="54D22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(八)散布谣言，扰乱经济秩序和社会秩序的；</w:t>
            </w:r>
          </w:p>
          <w:p w14:paraId="4FAE52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(九)散布淫秽、色情、赌博、暴力、凶杀、恐怖或者教唆犯罪的；</w:t>
            </w:r>
          </w:p>
          <w:p w14:paraId="2A4B13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(十)侮辱或者诽谤他人，侵害他人名誉、隐私和其他合法权益的；</w:t>
            </w:r>
          </w:p>
          <w:p w14:paraId="75CE4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(十一)法律、行政法规禁止的其他内容。</w:t>
            </w:r>
          </w:p>
          <w:p w14:paraId="4C4BA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11" w:firstLineChars="196"/>
              <w:textAlignment w:val="auto"/>
              <w:outlineLvl w:val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(十二)包括并不限于以上内容。</w:t>
            </w:r>
          </w:p>
          <w:p w14:paraId="1545B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BD7A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01825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供应商名称</w:t>
            </w:r>
          </w:p>
          <w:p w14:paraId="11D58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（盖章）</w:t>
            </w:r>
          </w:p>
        </w:tc>
        <w:tc>
          <w:tcPr>
            <w:tcW w:w="8302" w:type="dxa"/>
            <w:gridSpan w:val="4"/>
            <w:vAlign w:val="center"/>
          </w:tcPr>
          <w:p w14:paraId="1BE153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2E469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7805F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供应商联系方式（含姓名）</w:t>
            </w:r>
          </w:p>
        </w:tc>
        <w:tc>
          <w:tcPr>
            <w:tcW w:w="8302" w:type="dxa"/>
            <w:gridSpan w:val="4"/>
            <w:vAlign w:val="center"/>
          </w:tcPr>
          <w:p w14:paraId="2A1DE3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3977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0947E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响应产品名称及型号规格</w:t>
            </w:r>
          </w:p>
        </w:tc>
        <w:tc>
          <w:tcPr>
            <w:tcW w:w="8302" w:type="dxa"/>
            <w:gridSpan w:val="4"/>
            <w:vAlign w:val="center"/>
          </w:tcPr>
          <w:p w14:paraId="2B5939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77B88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1574A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价格（总价）</w:t>
            </w:r>
          </w:p>
        </w:tc>
        <w:tc>
          <w:tcPr>
            <w:tcW w:w="8302" w:type="dxa"/>
            <w:gridSpan w:val="4"/>
            <w:vAlign w:val="center"/>
          </w:tcPr>
          <w:p w14:paraId="66C5E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人民币：                   整（￥           ）</w:t>
            </w:r>
          </w:p>
        </w:tc>
      </w:tr>
      <w:tr w14:paraId="109FE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002" w:type="dxa"/>
            <w:vAlign w:val="center"/>
          </w:tcPr>
          <w:p w14:paraId="56C49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报价日期</w:t>
            </w:r>
          </w:p>
        </w:tc>
        <w:tc>
          <w:tcPr>
            <w:tcW w:w="4671" w:type="dxa"/>
            <w:vAlign w:val="center"/>
          </w:tcPr>
          <w:p w14:paraId="065C37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  <w:tc>
          <w:tcPr>
            <w:tcW w:w="1532" w:type="dxa"/>
            <w:gridSpan w:val="2"/>
            <w:vAlign w:val="center"/>
          </w:tcPr>
          <w:p w14:paraId="54A31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产地</w:t>
            </w:r>
          </w:p>
        </w:tc>
        <w:tc>
          <w:tcPr>
            <w:tcW w:w="2099" w:type="dxa"/>
            <w:vAlign w:val="center"/>
          </w:tcPr>
          <w:p w14:paraId="7FF97D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</w:p>
        </w:tc>
      </w:tr>
      <w:tr w14:paraId="65A4D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2002" w:type="dxa"/>
          </w:tcPr>
          <w:p w14:paraId="7FF8D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其他需要说明事项</w:t>
            </w:r>
          </w:p>
        </w:tc>
        <w:tc>
          <w:tcPr>
            <w:tcW w:w="8302" w:type="dxa"/>
            <w:gridSpan w:val="4"/>
          </w:tcPr>
          <w:p w14:paraId="0C5E7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Han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以上报价含增值税税金、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运输、安装、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调试、相关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CN"/>
              </w:rPr>
              <w:t>辅材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等确保设备（服务）能在采购方指定地点正常使用的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eastAsia="zh-Hans"/>
              </w:rPr>
              <w:t>所有费用。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</w:t>
            </w:r>
          </w:p>
        </w:tc>
      </w:tr>
    </w:tbl>
    <w:p w14:paraId="3496D4B5">
      <w:pPr>
        <w:rPr>
          <w:rFonts w:hint="eastAsia"/>
          <w:lang w:val="en-US" w:eastAsia="zh-Hans"/>
        </w:rPr>
      </w:pPr>
    </w:p>
    <w:sectPr>
      <w:pgSz w:w="11906" w:h="16838"/>
      <w:pgMar w:top="567" w:right="567" w:bottom="1134" w:left="113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7F452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FB5A69">
                          <w:pPr>
                            <w:pStyle w:val="7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FB5A69">
                    <w:pPr>
                      <w:pStyle w:val="7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CD8E01"/>
    <w:multiLevelType w:val="singleLevel"/>
    <w:tmpl w:val="A2CD8E01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C8BA8DD2"/>
    <w:multiLevelType w:val="singleLevel"/>
    <w:tmpl w:val="C8BA8DD2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2">
    <w:nsid w:val="02A360EA"/>
    <w:multiLevelType w:val="singleLevel"/>
    <w:tmpl w:val="02A360EA"/>
    <w:lvl w:ilvl="0" w:tentative="0">
      <w:start w:val="1"/>
      <w:numFmt w:val="decimal"/>
      <w:suff w:val="space"/>
      <w:lvlText w:val="%1)"/>
      <w:lvlJc w:val="left"/>
      <w:pPr>
        <w:ind w:left="425" w:hanging="425"/>
      </w:pPr>
      <w:rPr>
        <w:rFonts w:hint="default"/>
      </w:rPr>
    </w:lvl>
  </w:abstractNum>
  <w:abstractNum w:abstractNumId="3">
    <w:nsid w:val="1669C371"/>
    <w:multiLevelType w:val="singleLevel"/>
    <w:tmpl w:val="1669C371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4">
    <w:nsid w:val="2A987357"/>
    <w:multiLevelType w:val="singleLevel"/>
    <w:tmpl w:val="2A987357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5">
    <w:nsid w:val="2B128F90"/>
    <w:multiLevelType w:val="singleLevel"/>
    <w:tmpl w:val="2B128F90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6">
    <w:nsid w:val="5F1CF438"/>
    <w:multiLevelType w:val="singleLevel"/>
    <w:tmpl w:val="5F1CF438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7">
    <w:nsid w:val="7B78A24B"/>
    <w:multiLevelType w:val="singleLevel"/>
    <w:tmpl w:val="7B78A24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RiY2UyZDlkYTBhODY5ODI5NmQwNTkyNDEwNzI5MGIifQ=="/>
  </w:docVars>
  <w:rsids>
    <w:rsidRoot w:val="EFF72C7D"/>
    <w:rsid w:val="01BB0249"/>
    <w:rsid w:val="0382186E"/>
    <w:rsid w:val="04127755"/>
    <w:rsid w:val="04692995"/>
    <w:rsid w:val="079C7C1B"/>
    <w:rsid w:val="07FA2A2F"/>
    <w:rsid w:val="08731DFE"/>
    <w:rsid w:val="08A22DF9"/>
    <w:rsid w:val="0A3E36F7"/>
    <w:rsid w:val="0AAF0151"/>
    <w:rsid w:val="0E203DD9"/>
    <w:rsid w:val="0F660ABF"/>
    <w:rsid w:val="10B244F7"/>
    <w:rsid w:val="11020FDA"/>
    <w:rsid w:val="12313CD8"/>
    <w:rsid w:val="1C912010"/>
    <w:rsid w:val="1E0B2E02"/>
    <w:rsid w:val="1EEA728B"/>
    <w:rsid w:val="1F7A2BE0"/>
    <w:rsid w:val="1FB90D1A"/>
    <w:rsid w:val="22711EDF"/>
    <w:rsid w:val="22857CBD"/>
    <w:rsid w:val="23290648"/>
    <w:rsid w:val="269229A8"/>
    <w:rsid w:val="28BE243F"/>
    <w:rsid w:val="290C6A42"/>
    <w:rsid w:val="297A6B15"/>
    <w:rsid w:val="2D012978"/>
    <w:rsid w:val="2F0B32F8"/>
    <w:rsid w:val="2FF21F37"/>
    <w:rsid w:val="33786E92"/>
    <w:rsid w:val="35923F8F"/>
    <w:rsid w:val="377E068C"/>
    <w:rsid w:val="37BB13D7"/>
    <w:rsid w:val="39900FC9"/>
    <w:rsid w:val="3ABE56C2"/>
    <w:rsid w:val="3E6F5651"/>
    <w:rsid w:val="3F492F53"/>
    <w:rsid w:val="3F6E3B5B"/>
    <w:rsid w:val="3FC04CF7"/>
    <w:rsid w:val="403A3A3D"/>
    <w:rsid w:val="449D26A9"/>
    <w:rsid w:val="45605CF4"/>
    <w:rsid w:val="47BA236B"/>
    <w:rsid w:val="4AB368C6"/>
    <w:rsid w:val="4FE44606"/>
    <w:rsid w:val="51C413B8"/>
    <w:rsid w:val="54C65448"/>
    <w:rsid w:val="55D078AC"/>
    <w:rsid w:val="562763BA"/>
    <w:rsid w:val="56310D0D"/>
    <w:rsid w:val="563B456B"/>
    <w:rsid w:val="59213594"/>
    <w:rsid w:val="5AAE0E58"/>
    <w:rsid w:val="5B9677F0"/>
    <w:rsid w:val="5D4810F0"/>
    <w:rsid w:val="5F03032F"/>
    <w:rsid w:val="5F544B52"/>
    <w:rsid w:val="60C82547"/>
    <w:rsid w:val="64FE1110"/>
    <w:rsid w:val="67C95523"/>
    <w:rsid w:val="689A2A1B"/>
    <w:rsid w:val="68F35F86"/>
    <w:rsid w:val="69E209E0"/>
    <w:rsid w:val="6D254C02"/>
    <w:rsid w:val="6E6F600F"/>
    <w:rsid w:val="766905FD"/>
    <w:rsid w:val="766F65BB"/>
    <w:rsid w:val="77F42148"/>
    <w:rsid w:val="78AC657F"/>
    <w:rsid w:val="7A181A24"/>
    <w:rsid w:val="7AAC05DE"/>
    <w:rsid w:val="7AF1296F"/>
    <w:rsid w:val="7AFB1A3F"/>
    <w:rsid w:val="7C4B60AF"/>
    <w:rsid w:val="7E6E38C7"/>
    <w:rsid w:val="7F2C666B"/>
    <w:rsid w:val="7F552F1F"/>
    <w:rsid w:val="7FF13B9D"/>
    <w:rsid w:val="DF8BBB0F"/>
    <w:rsid w:val="EF8FC362"/>
    <w:rsid w:val="EFF72C7D"/>
    <w:rsid w:val="FB7FE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400" w:after="200" w:line="252" w:lineRule="auto"/>
      <w:jc w:val="center"/>
      <w:outlineLvl w:val="0"/>
    </w:pPr>
    <w:rPr>
      <w:rFonts w:asciiTheme="majorHAnsi" w:hAnsiTheme="majorHAnsi" w:eastAsiaTheme="majorEastAsia" w:cstheme="majorBidi"/>
      <w:b/>
      <w:caps/>
      <w:color w:val="000000" w:themeColor="text1"/>
      <w:spacing w:val="20"/>
      <w:kern w:val="0"/>
      <w:szCs w:val="28"/>
      <w14:textFill>
        <w14:solidFill>
          <w14:schemeClr w14:val="tx1"/>
        </w14:solidFill>
      </w14:textFill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Body Text 2"/>
    <w:basedOn w:val="1"/>
    <w:qFormat/>
    <w:uiPriority w:val="0"/>
    <w:pPr>
      <w:spacing w:line="480" w:lineRule="auto"/>
    </w:pPr>
    <w:rPr>
      <w:rFonts w:ascii="Calibri" w:hAnsi="Calibri" w:cs="黑体"/>
    </w:rPr>
  </w:style>
  <w:style w:type="paragraph" w:styleId="6">
    <w:name w:val="Body Text Indent"/>
    <w:basedOn w:val="1"/>
    <w:next w:val="1"/>
    <w:qFormat/>
    <w:uiPriority w:val="0"/>
    <w:pPr>
      <w:widowControl/>
      <w:autoSpaceDE w:val="0"/>
      <w:autoSpaceDN w:val="0"/>
      <w:snapToGrid w:val="0"/>
      <w:spacing w:before="120" w:beforeLines="0" w:line="400" w:lineRule="atLeast"/>
      <w:ind w:firstLine="570"/>
      <w:textAlignment w:val="bottom"/>
    </w:pPr>
    <w:rPr>
      <w:rFonts w:ascii="宋体"/>
      <w:kern w:val="0"/>
      <w:sz w:val="24"/>
      <w:szCs w:val="20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 2"/>
    <w:basedOn w:val="6"/>
    <w:next w:val="1"/>
    <w:qFormat/>
    <w:uiPriority w:val="0"/>
    <w:pPr>
      <w:tabs>
        <w:tab w:val="left" w:pos="0"/>
        <w:tab w:val="left" w:pos="1260"/>
        <w:tab w:val="left" w:pos="1365"/>
      </w:tabs>
      <w:ind w:firstLine="420"/>
    </w:pPr>
    <w:rPr>
      <w:rFonts w:ascii="Times New Roman" w:hAnsi="Times New Roman" w:eastAsia="宋体" w:cs="Times New Roman"/>
    </w:rPr>
  </w:style>
  <w:style w:type="table" w:styleId="12">
    <w:name w:val="Table Grid"/>
    <w:basedOn w:val="1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Normal Indent1"/>
    <w:basedOn w:val="1"/>
    <w:qFormat/>
    <w:uiPriority w:val="0"/>
    <w:pPr>
      <w:ind w:firstLine="420" w:firstLineChars="200"/>
    </w:pPr>
  </w:style>
  <w:style w:type="character" w:customStyle="1" w:styleId="15">
    <w:name w:val="font61"/>
    <w:basedOn w:val="13"/>
    <w:qFormat/>
    <w:uiPriority w:val="0"/>
    <w:rPr>
      <w:rFonts w:hint="eastAsia" w:ascii="仿宋_GB2312" w:eastAsia="仿宋_GB2312" w:cs="仿宋_GB2312"/>
      <w:color w:val="C00000"/>
      <w:sz w:val="24"/>
      <w:szCs w:val="24"/>
      <w:u w:val="none"/>
    </w:rPr>
  </w:style>
  <w:style w:type="paragraph" w:customStyle="1" w:styleId="16">
    <w:name w:val="首行缩进"/>
    <w:basedOn w:val="1"/>
    <w:qFormat/>
    <w:uiPriority w:val="0"/>
    <w:pPr>
      <w:widowControl w:val="0"/>
      <w:spacing w:line="240" w:lineRule="auto"/>
      <w:ind w:firstLine="480" w:firstLineChars="200"/>
      <w:jc w:val="both"/>
    </w:pPr>
    <w:rPr>
      <w:rFonts w:ascii="Times New Roman" w:hAnsi="Times New Roman" w:eastAsia="宋体"/>
      <w:kern w:val="2"/>
      <w:sz w:val="21"/>
      <w:lang w:eastAsia="zh-CN" w:bidi="ar-SA"/>
    </w:rPr>
  </w:style>
  <w:style w:type="character" w:customStyle="1" w:styleId="17">
    <w:name w:val="font3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7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single"/>
    </w:rPr>
  </w:style>
  <w:style w:type="character" w:customStyle="1" w:styleId="19">
    <w:name w:val="font21"/>
    <w:basedOn w:val="1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0">
    <w:name w:val="font81"/>
    <w:basedOn w:val="13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2506</Words>
  <Characters>2615</Characters>
  <Lines>0</Lines>
  <Paragraphs>0</Paragraphs>
  <TotalTime>1</TotalTime>
  <ScaleCrop>false</ScaleCrop>
  <LinksUpToDate>false</LinksUpToDate>
  <CharactersWithSpaces>2699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2022-10-22T03:30:00Z</dcterms:created>
  <dc:creator>盛装出席</dc:creator>
  <cp:lastModifiedBy>胡荣华</cp:lastModifiedBy>
  <cp:lastPrinted>2026-03-25T01:55:25Z</cp:lastPrinted>
  <dcterms:modified xsi:type="dcterms:W3CDTF">2026-03-25T02:20:39Z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AF3A9D3BC21441B3B967BC75F040D26C_13</vt:lpwstr>
  </property>
  <property fmtid="{D5CDD505-2E9C-101B-9397-08002B2CF9AE}" pid="4" name="KSOTemplateDocerSaveRecord">
    <vt:lpwstr>eyJoZGlkIjoiZDgyMjQwOTIwN2UwZWJjYzM2MDEyMGVkMmFlMjI1MjkiLCJ1c2VySWQiOiIxNjYzMzIxNjM5In0=</vt:lpwstr>
  </property>
</Properties>
</file>