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38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2026年移动图书馆服务采购</w:t>
      </w:r>
    </w:p>
    <w:p w14:paraId="6D7B4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根据教学科研需要，需采购移动图书馆服务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一、项目基本情况</w:t>
      </w:r>
    </w:p>
    <w:p w14:paraId="36546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2026年图书馆移动图书馆服务采购项目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cs="宋体" w:eastAsiaTheme="minorEastAsia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3.项目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概况：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采购移动图书馆服务，提供移动端平台，整合馆内纸质图书、电子资源，满足师生获取馆藏资源与移动阅读、检索、借阅管理等服务需求。质量及服务时限：遵守知识产权及意识形态要求。服务期1年。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）</w:t>
      </w:r>
    </w:p>
    <w:p w14:paraId="281A42F9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20" w:lineRule="exact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三、报送文件要求</w:t>
      </w:r>
    </w:p>
    <w:p w14:paraId="6277878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654155B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73E9DB5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813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、报送时间</w:t>
      </w:r>
    </w:p>
    <w:p w14:paraId="5979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函回函文件电子稿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请于202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发送至邮箱2536772978@qq.com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纸质稿请于2026年4月2日17时前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以快件投递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（送到图书馆）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或直接送达方式送达（拒绝接受超时送达的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调查函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2.联系人及联系方式</w:t>
      </w:r>
    </w:p>
    <w:p w14:paraId="725C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胡老师 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联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系电话：（0798）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8416671或17610830782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jc w:val="right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03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日</w:t>
      </w:r>
    </w:p>
    <w:p w14:paraId="09062E7F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hint="eastAsia"/>
          <w:sz w:val="30"/>
          <w:szCs w:val="3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2026年移动图书馆服务采购市场调查函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章）：图书馆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调查函时间：2026年3月25日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使用（牵头）部门经办人及联系电话：胡老师 17610830782</w:t>
      </w:r>
    </w:p>
    <w:tbl>
      <w:tblPr>
        <w:tblStyle w:val="12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移动图书馆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1年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55DB39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技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术要求：</w:t>
            </w:r>
          </w:p>
          <w:p w14:paraId="30757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一、</w:t>
            </w:r>
            <w:r>
              <w:rPr>
                <w:rFonts w:hint="default" w:ascii="Calibri" w:hAnsi="Calibri" w:eastAsia="宋体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移</w:t>
            </w:r>
            <w:r>
              <w:rPr>
                <w:rFonts w:hint="default"/>
                <w:b/>
                <w:bCs/>
                <w:color w:val="000000"/>
                <w:sz w:val="21"/>
                <w:szCs w:val="21"/>
                <w:lang w:val="en-US" w:eastAsia="zh-CN"/>
              </w:rPr>
              <w:t>动OPAC系统功能</w:t>
            </w:r>
          </w:p>
          <w:p w14:paraId="369A07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要与图书馆OPAC系统完成</w:t>
            </w: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统一认证，</w:t>
            </w:r>
          </w:p>
          <w:p w14:paraId="2D4EE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基于本馆OPAC系统功能，要求在手机终端具备馆图书馆公告浏览、热门检索词展示、馆藏书目查询、馆藏复本情况、在架信息、在线预约、个人借阅信息查看、在线续借、预约取书提醒、催还信息告</w:t>
            </w:r>
            <w:bookmarkStart w:id="0" w:name="_GoBack"/>
            <w:bookmarkEnd w:id="0"/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知、电子读者证等功能</w:t>
            </w:r>
          </w:p>
          <w:p w14:paraId="1B1958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  <w:t>二、数字资源服务平台功能</w:t>
            </w:r>
          </w:p>
          <w:p w14:paraId="632BB8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移动图书馆可在不同移动终端上阅读访问。提供适合手机使用的图书资源，需包含图书封面信息、目录及在手机中完成试读，并且通过移动图书馆，可以查询到全国的馆藏信息。支持图书馆已购买的电子图书、中文期刊等学术资源全文阅读和全文检索。</w:t>
            </w:r>
          </w:p>
          <w:p w14:paraId="0C5E0D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整合的期刊、论文等摘要页面要显示相关文献来源，提供适合移动设备的链接访问，并提供文献传递服务</w:t>
            </w:r>
          </w:p>
          <w:p w14:paraId="3DB6FC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提供资源导航，包括图书、期刊、讲座等，并实现热门资源的推荐</w:t>
            </w:r>
          </w:p>
          <w:p w14:paraId="48CA95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通过系统访问本馆购买的资源，不受IP限制，通过认证针对读者进行权限控制，使用移动终端设备连接网络，可在任何地点访问。</w:t>
            </w:r>
          </w:p>
          <w:p w14:paraId="5D95C1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用手机查找文献时，可提出申请将检索结果直接发送到个人邮箱。</w:t>
            </w:r>
          </w:p>
          <w:p w14:paraId="16FB4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支持横屏阅读，可进行批注，标示等操作。</w:t>
            </w:r>
          </w:p>
          <w:p w14:paraId="35B7B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接入全国图书馆参考咨询联盟建立的</w:t>
            </w: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云传递共享平台，中文文献传递满足率达到95%以上，传递的文献支持随时随地打开阅读。</w:t>
            </w:r>
          </w:p>
          <w:p w14:paraId="32332B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提供适合广大读者学习的经典视频≤</w:t>
            </w: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10000集</w:t>
            </w: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，包含清华大学、北京大学、复旦大学等名校的课程视频及讲座，可以在线进行播放。</w:t>
            </w:r>
          </w:p>
          <w:p w14:paraId="5B859E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  <w:t>三、阅读服务功能</w:t>
            </w:r>
          </w:p>
          <w:p w14:paraId="6C8099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微读书模块精选从经典图书中摘录精彩片段分享笔记，可通过片段读经典。</w:t>
            </w:r>
          </w:p>
          <w:p w14:paraId="524F42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提供完善的主题书单功能，支持图书馆按需进行自定义配置。</w:t>
            </w:r>
          </w:p>
          <w:p w14:paraId="6B2962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每日新书根据不同主题推荐图书，每日更新。</w:t>
            </w:r>
          </w:p>
          <w:p w14:paraId="0F0A29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线下扫码阅读，扫线下机器上的二维码，即可阅读图书，并且加入书房或下载到书架。</w:t>
            </w:r>
          </w:p>
          <w:p w14:paraId="24BFC1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提供个人空间，可添加图书、视频、期刊、讲座等资源，方便读者查找及阅读。</w:t>
            </w:r>
          </w:p>
          <w:p w14:paraId="57C4E5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  <w:t>四、</w:t>
            </w:r>
            <w:r>
              <w:rPr>
                <w:rFonts w:hint="default"/>
                <w:b/>
                <w:bCs/>
                <w:color w:val="000000"/>
                <w:sz w:val="21"/>
                <w:szCs w:val="21"/>
                <w:lang w:val="en-US" w:eastAsia="zh-CN"/>
              </w:rPr>
              <w:t>信息发布管理</w:t>
            </w:r>
          </w:p>
          <w:p w14:paraId="73C1A5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本馆资讯分类管理，以及新闻资源的动态发布。</w:t>
            </w:r>
          </w:p>
          <w:p w14:paraId="17794A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可在线上对图书馆座位进行预约，方便管理。</w:t>
            </w:r>
          </w:p>
          <w:p w14:paraId="0D9FBE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支持APP端、小程序端提供作品征集平台，支持上传图片、文字、视频等格式的作品，可设置对作品的投票、点赞、评论等操作权限。</w:t>
            </w:r>
          </w:p>
          <w:p w14:paraId="2951C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支持配置阅读积分大赛，通过看视频、做测评、读经典、观直播等获得积分，进行排行。</w:t>
            </w:r>
          </w:p>
          <w:p w14:paraId="32D658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支持单位自定义学习时间，以及定制个性化学习内容。</w:t>
            </w:r>
          </w:p>
          <w:p w14:paraId="687FE4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支持单位要求进行积分规则和达标积分数进行设置，支持对登录、视频观看、阅读、答题讨论、笔记等考核维度和积分规则设置。</w:t>
            </w:r>
          </w:p>
          <w:p w14:paraId="5942D4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提供图书共读功能，通过共同阅读一本书深入了解原著，支持打卡、书评、排行。</w:t>
            </w:r>
          </w:p>
          <w:p w14:paraId="6E0DFE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提供知识闯关模块，通过灵活配置的活动规则，答题+阅读的方式调动用户的阅读积极性。</w:t>
            </w:r>
          </w:p>
          <w:p w14:paraId="3A588C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  <w:t>五、后台管理功能</w:t>
            </w:r>
          </w:p>
          <w:p w14:paraId="2C7D84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支持对首页轮播图管理。</w:t>
            </w:r>
          </w:p>
          <w:p w14:paraId="5C826E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支持对资源管理，图书、期刊、视频等资源管理。</w:t>
            </w:r>
          </w:p>
          <w:p w14:paraId="586447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支持多终端统一后台管理：实现后台对APP端、公众号端、小程序端。</w:t>
            </w:r>
          </w:p>
          <w:p w14:paraId="0FD2C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商务要求：</w:t>
            </w:r>
          </w:p>
          <w:p w14:paraId="1CCBED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服务期（服务类采购项目适用）：自合同签署之日起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个工作日内，成交供应商（乙方）应开始为采购人（甲方）提供服务，服务期以合同约定服务时间为准，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服务期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1年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5C077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售后服务：电话报修后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内售后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排除故障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期内以上服务产生的一切费用仅包含在报价（合同价）中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756B3A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服务标准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在项目实施过程及售后服务期内，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提供7×24小时不间断服务。提供至少每年1次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平台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功能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使用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的读者培训。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访问方式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江西陶瓷工艺美术职业技术学院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IP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地址范围自动登入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（无并发限制），支持校外访问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项目供应商需指定专人负责与用户保持长期的联系与服务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。供应商需承诺售后壹年（以合同约定服务时间为准） 的硬件和软件上门维护与升级服务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  <w:p w14:paraId="3751C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验收标准：经采购人核查、测试，平台正常运行，满足采购合同技术参数要求均达标，试运行合格，即为验收通过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48B52F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付款方式：本项目履约保证金为合同金额的5%（人民币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）,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合同签订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乙方将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履约保证金转至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后，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乙方按要求开具供货发票，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甲方于收到规范、合格的供货发票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后15个工作日内支付货款的100%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，履约保证金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待履约完成后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无息返还。</w:t>
            </w:r>
          </w:p>
          <w:p w14:paraId="424E11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知识产权要求：供应商应保护采购人在使用该货物或其任何一部分时不受第 三方提出侵犯专利权、商标权、著作权或其它知识产权起诉的指控。如果任何第 三方提出侵权指控， 供应商须与第三方交涉并承担可能发生的一切法律责任和费 用。因此造成采购人损失的（包括但不限于直接损失及因此产生的商誉损失等间接损失）有权要求供应商予以赔偿。</w:t>
            </w:r>
          </w:p>
          <w:p w14:paraId="6ED0CD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意识形态要求：供应商承诺数据库不含有下列内容：</w:t>
            </w:r>
          </w:p>
          <w:p w14:paraId="0A222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(一)反对宪法所确定的基本原则的；</w:t>
            </w:r>
          </w:p>
          <w:p w14:paraId="2AEC2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(二)危害国家安全，泄露国家秘密，颠覆国家政权，破坏国家统一的；</w:t>
            </w:r>
          </w:p>
          <w:p w14:paraId="1B86D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(三)损害国家荣誉和利益的；</w:t>
            </w:r>
          </w:p>
          <w:p w14:paraId="7E263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(四)歪曲、丑化、亵渎、否定英雄烈士事迹和精神，以侮辱、诽谤或者其他方式侵害英雄烈士的姓名、肖像、名誉、荣誉的；</w:t>
            </w:r>
          </w:p>
          <w:p w14:paraId="6CE7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(五)宣扬恐怖主义、极端主义或者煽动实施恐怖活动、极端主义活动的；</w:t>
            </w:r>
          </w:p>
          <w:p w14:paraId="28C5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(六)煽动民族仇恨、民族歧视，破坏民族团结的；</w:t>
            </w:r>
          </w:p>
          <w:p w14:paraId="47C1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(七)破坏国家宗教政策，宣扬邪教和封建迷信的；</w:t>
            </w:r>
          </w:p>
          <w:p w14:paraId="7F0C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(八)散布谣言，扰乱经济秩序和社会秩序的；</w:t>
            </w:r>
          </w:p>
          <w:p w14:paraId="2A144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(九)散布淫秽、色情、赌博、暴力、凶杀、恐怖或者教唆犯罪的；</w:t>
            </w:r>
          </w:p>
          <w:p w14:paraId="7A88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(十)侮辱或者诽谤他人，侵害他人名誉、隐私和其他合法权益的；</w:t>
            </w:r>
          </w:p>
          <w:p w14:paraId="0396A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(十一)法律、行政法规禁止的其他内容。</w:t>
            </w:r>
          </w:p>
          <w:p w14:paraId="0165A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(十二)包括并不限于以上内容。</w:t>
            </w:r>
          </w:p>
          <w:p w14:paraId="5FEBB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48" w:firstLineChars="196"/>
              <w:textAlignment w:val="auto"/>
              <w:outlineLvl w:val="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5FC18"/>
    <w:multiLevelType w:val="singleLevel"/>
    <w:tmpl w:val="E0A5FC18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EA941B70"/>
    <w:multiLevelType w:val="singleLevel"/>
    <w:tmpl w:val="EA941B70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F11D0630"/>
    <w:multiLevelType w:val="singleLevel"/>
    <w:tmpl w:val="F11D0630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0463A6E3"/>
    <w:multiLevelType w:val="singleLevel"/>
    <w:tmpl w:val="0463A6E3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79E1CAA4"/>
    <w:multiLevelType w:val="singleLevel"/>
    <w:tmpl w:val="79E1CAA4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8A22DF9"/>
    <w:rsid w:val="0A3E36F7"/>
    <w:rsid w:val="0AAF0151"/>
    <w:rsid w:val="0E203DD9"/>
    <w:rsid w:val="0F660ABF"/>
    <w:rsid w:val="10B244F7"/>
    <w:rsid w:val="11020FDA"/>
    <w:rsid w:val="12313CD8"/>
    <w:rsid w:val="1C912010"/>
    <w:rsid w:val="1E0B2E02"/>
    <w:rsid w:val="1EC72055"/>
    <w:rsid w:val="1EEA728B"/>
    <w:rsid w:val="1F7A2BE0"/>
    <w:rsid w:val="1FB90D1A"/>
    <w:rsid w:val="22711EDF"/>
    <w:rsid w:val="22857CBD"/>
    <w:rsid w:val="22A44767"/>
    <w:rsid w:val="23290648"/>
    <w:rsid w:val="269229A8"/>
    <w:rsid w:val="28BE243F"/>
    <w:rsid w:val="290C6A42"/>
    <w:rsid w:val="297A6B15"/>
    <w:rsid w:val="2CDD290A"/>
    <w:rsid w:val="2F0B32F8"/>
    <w:rsid w:val="2FF21F37"/>
    <w:rsid w:val="33786E92"/>
    <w:rsid w:val="33D650F8"/>
    <w:rsid w:val="35923F8F"/>
    <w:rsid w:val="377E068C"/>
    <w:rsid w:val="37BB13D7"/>
    <w:rsid w:val="39900FC9"/>
    <w:rsid w:val="3ABE56C2"/>
    <w:rsid w:val="3E5345A0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E44606"/>
    <w:rsid w:val="51C413B8"/>
    <w:rsid w:val="54C65448"/>
    <w:rsid w:val="55D078AC"/>
    <w:rsid w:val="562763BA"/>
    <w:rsid w:val="56310D0D"/>
    <w:rsid w:val="563B456B"/>
    <w:rsid w:val="59213594"/>
    <w:rsid w:val="5AAE0E58"/>
    <w:rsid w:val="5B9677F0"/>
    <w:rsid w:val="5D4810F0"/>
    <w:rsid w:val="5F03032F"/>
    <w:rsid w:val="5F544B52"/>
    <w:rsid w:val="60C82547"/>
    <w:rsid w:val="64FE1110"/>
    <w:rsid w:val="67C95523"/>
    <w:rsid w:val="689A2A1B"/>
    <w:rsid w:val="68F35F86"/>
    <w:rsid w:val="69E209E0"/>
    <w:rsid w:val="6D254C02"/>
    <w:rsid w:val="6E6F600F"/>
    <w:rsid w:val="766905FD"/>
    <w:rsid w:val="766F65BB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6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Normal Indent1"/>
    <w:basedOn w:val="1"/>
    <w:qFormat/>
    <w:uiPriority w:val="0"/>
    <w:pPr>
      <w:ind w:firstLine="420" w:firstLineChars="200"/>
    </w:pPr>
  </w:style>
  <w:style w:type="character" w:customStyle="1" w:styleId="15">
    <w:name w:val="font61"/>
    <w:basedOn w:val="13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2600</Words>
  <Characters>2709</Characters>
  <Lines>0</Lines>
  <Paragraphs>0</Paragraphs>
  <TotalTime>1</TotalTime>
  <ScaleCrop>false</ScaleCrop>
  <LinksUpToDate>false</LinksUpToDate>
  <CharactersWithSpaces>2791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胡荣华</cp:lastModifiedBy>
  <cp:lastPrinted>2026-03-25T01:54:34Z</cp:lastPrinted>
  <dcterms:modified xsi:type="dcterms:W3CDTF">2026-03-25T02:20:43Z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AF3A9D3BC21441B3B967BC75F040D26C_13</vt:lpwstr>
  </property>
  <property fmtid="{D5CDD505-2E9C-101B-9397-08002B2CF9AE}" pid="4" name="KSOTemplateDocerSaveRecord">
    <vt:lpwstr>eyJoZGlkIjoiZDgyMjQwOTIwN2UwZWJjYzM2MDEyMGVkMmFlMjI1MjkiLCJ1c2VySWQiOiIxNjYzMzIxNjM5In0=</vt:lpwstr>
  </property>
</Properties>
</file>