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7B4D7A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Hans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Hans"/>
        </w:rPr>
        <w:t>关于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2026年设计资源数据库服务采购市场调查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Hans"/>
        </w:rPr>
        <w:t>函</w:t>
      </w:r>
    </w:p>
    <w:p w14:paraId="4B8280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val="en-US" w:eastAsia="zh-Hans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我单位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根据教学科研需要，需采购设计资源数据库服务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Hans"/>
        </w:rPr>
        <w:t>，现就该项目向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各相关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Hans"/>
        </w:rPr>
        <w:t>供应商进行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市场调查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Hans"/>
        </w:rPr>
        <w:t>。</w:t>
      </w:r>
    </w:p>
    <w:p w14:paraId="29EA53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一、项目基本情况</w:t>
      </w:r>
    </w:p>
    <w:p w14:paraId="3C5745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1.项目名称：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2026年图书馆设计资源数据库服务采购项目</w:t>
      </w:r>
    </w:p>
    <w:p w14:paraId="25902A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2项目地点：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江西陶瓷工艺美术职业技术学院</w:t>
      </w:r>
    </w:p>
    <w:p w14:paraId="175C77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jc w:val="left"/>
        <w:textAlignment w:val="auto"/>
        <w:rPr>
          <w:rFonts w:hint="eastAsia" w:ascii="宋体" w:hAnsi="宋体" w:cs="宋体" w:eastAsiaTheme="minorEastAsia"/>
          <w:color w:val="00000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3.项目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Hans"/>
        </w:rPr>
        <w:t>概况：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采购设计资源数据库服务，提供设计类资源服务，满足师生教学实践、设计专题学习需要。质量及服务时限：遵守知识产权及意识形态要求。服务期1年。</w:t>
      </w:r>
    </w:p>
    <w:p w14:paraId="26182C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二、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调查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范围及内容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详见附件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CN"/>
        </w:rPr>
        <w:t>）</w:t>
      </w:r>
    </w:p>
    <w:p w14:paraId="281A42F9">
      <w:pPr>
        <w:pStyle w:val="10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before="0" w:beforeLines="0" w:line="520" w:lineRule="exact"/>
        <w:ind w:firstLine="600" w:firstLineChars="200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  <w:lang w:val="en-US" w:eastAsia="zh-CN"/>
        </w:rPr>
        <w:t>三、报送文件要求</w:t>
      </w:r>
    </w:p>
    <w:p w14:paraId="6277878A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520" w:lineRule="exact"/>
        <w:ind w:left="0" w:right="2" w:firstLine="60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企业法人营业执照（复印件）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；</w:t>
      </w:r>
    </w:p>
    <w:p w14:paraId="654155B2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520" w:lineRule="exact"/>
        <w:ind w:left="0" w:right="2" w:firstLine="60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报价文件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、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技术（服务）要求及商务要求响应文件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；</w:t>
      </w:r>
    </w:p>
    <w:p w14:paraId="73E9DB52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520" w:lineRule="exact"/>
        <w:ind w:left="0" w:right="813" w:firstLine="60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3.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资质证书（复印件）。</w:t>
      </w:r>
    </w:p>
    <w:p w14:paraId="41FE1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四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、报送时间</w:t>
      </w:r>
    </w:p>
    <w:p w14:paraId="597924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1.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调查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函回函文件电子稿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请于202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03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30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日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17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时前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发送至邮箱2536772978@qq.com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，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纸质稿请于2026年4月2日17时前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以快件投递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（送到图书馆）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或直接送达方式送达（拒绝接受超时送达的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调查函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）。</w:t>
      </w:r>
    </w:p>
    <w:p w14:paraId="220C9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2.联系人及联系方式</w:t>
      </w:r>
    </w:p>
    <w:p w14:paraId="725CFC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val="en-US" w:eastAsia="zh-Hans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 xml:space="preserve">胡老师 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联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Hans"/>
        </w:rPr>
        <w:t>系电话：（0798）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8416671或17610830782</w:t>
      </w:r>
    </w:p>
    <w:p w14:paraId="62DAF0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地址：江西省景德镇市浮梁工美大道666号</w:t>
      </w:r>
    </w:p>
    <w:p w14:paraId="71BE2501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520" w:lineRule="exact"/>
        <w:jc w:val="right"/>
        <w:rPr>
          <w:rFonts w:hint="eastAsia" w:ascii="宋体" w:hAnsi="宋体" w:eastAsia="宋体" w:cs="宋体"/>
          <w:color w:val="000000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江西陶瓷工艺美术职业技术学院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图书馆</w:t>
      </w:r>
    </w:p>
    <w:p w14:paraId="50945F73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520" w:lineRule="exact"/>
        <w:ind w:firstLine="600" w:firstLineChars="200"/>
        <w:jc w:val="right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 xml:space="preserve">                                202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年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03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月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25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日</w:t>
      </w:r>
    </w:p>
    <w:p w14:paraId="09062E7F">
      <w:pPr>
        <w:pStyle w:val="5"/>
        <w:rPr>
          <w:rFonts w:hint="eastAsia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1B8D90FE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2026年设计资源数据库服务采购市场调查函</w:t>
      </w:r>
    </w:p>
    <w:p w14:paraId="4F0C8D29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 名 称（盖  章）：图书馆</w:t>
      </w:r>
    </w:p>
    <w:p w14:paraId="6C078A44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使用（牵头）部门发 起 调查函时间：2026年3月25日</w:t>
      </w:r>
    </w:p>
    <w:p w14:paraId="1A2FDC43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使用（牵头）部门经办人及联系电话：胡老师 17610830782</w:t>
      </w:r>
    </w:p>
    <w:tbl>
      <w:tblPr>
        <w:tblStyle w:val="12"/>
        <w:tblW w:w="103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2"/>
        <w:gridCol w:w="4671"/>
        <w:gridCol w:w="1440"/>
        <w:gridCol w:w="92"/>
        <w:gridCol w:w="2099"/>
      </w:tblGrid>
      <w:tr w14:paraId="148CA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646AD0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设备（服务）</w:t>
            </w:r>
          </w:p>
          <w:p w14:paraId="22BC99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名称</w:t>
            </w:r>
          </w:p>
        </w:tc>
        <w:tc>
          <w:tcPr>
            <w:tcW w:w="4671" w:type="dxa"/>
            <w:vAlign w:val="center"/>
          </w:tcPr>
          <w:p w14:paraId="74718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设计资源数据库</w:t>
            </w:r>
          </w:p>
        </w:tc>
        <w:tc>
          <w:tcPr>
            <w:tcW w:w="1440" w:type="dxa"/>
            <w:vAlign w:val="center"/>
          </w:tcPr>
          <w:p w14:paraId="21B57A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  <w:p w14:paraId="2D300C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（单位）</w:t>
            </w:r>
          </w:p>
        </w:tc>
        <w:tc>
          <w:tcPr>
            <w:tcW w:w="2191" w:type="dxa"/>
            <w:gridSpan w:val="2"/>
            <w:vAlign w:val="center"/>
          </w:tcPr>
          <w:p w14:paraId="52270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1年</w:t>
            </w:r>
          </w:p>
        </w:tc>
      </w:tr>
      <w:tr w14:paraId="56D9C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  <w:jc w:val="center"/>
        </w:trPr>
        <w:tc>
          <w:tcPr>
            <w:tcW w:w="2002" w:type="dxa"/>
            <w:vAlign w:val="center"/>
          </w:tcPr>
          <w:p w14:paraId="660AFB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规格参数要求（包含技术要求、商务要求）</w:t>
            </w:r>
          </w:p>
        </w:tc>
        <w:tc>
          <w:tcPr>
            <w:tcW w:w="8302" w:type="dxa"/>
            <w:gridSpan w:val="4"/>
            <w:vAlign w:val="center"/>
          </w:tcPr>
          <w:p w14:paraId="353A087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textAlignment w:val="auto"/>
              <w:rPr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技术要求：</w:t>
            </w:r>
          </w:p>
          <w:p w14:paraId="647040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25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资源平台应至少包含以下核心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学习与参考模块：多媒体教程、电子图书、期刊杂志、设计素材、在线设计工具、艺术综合素养、虚拟展览馆、行业专家访谈、产业资讯动态、专业交流社区、专题课程汇聚以及赛事活动信息。其中，多媒体教程模块需全面覆盖数字绘画、平面设计、影视后期、影视动画、游戏制作、摄影摄像、工业设计、环境艺术、用户界面设计及职场办公等主要行业领域。</w:t>
            </w:r>
          </w:p>
          <w:p w14:paraId="07BB7F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25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多媒体教程内容应广泛涵盖各类专业技能主题。包括但不限于：商业插画、游戏原画、漫画创作、绘本制作、人物绘制、素描速写、手绘技法、材质表现、场景概念设计、人工智能生成内容（AIGC）辅助设计；广告海报设计、包装设计、电商视觉设计、品牌形象设计、出版印刷设计、字体设计、产品精修、C4D三维设计；视频剪辑、影视特效、后期调色、后期合成、短视频制作、广告宣传片制作、栏目包装、音频处理、CG电影技术、MG动画、三维动画、材质贴图、渲染技术、动画绑定；游戏动画、次世代角色制作、游戏模型、场景关卡设计、游戏特效、游戏引擎应用、游戏贴图绘制；摄影基础、商业摄影、短视频拍摄、手机摄影、风光摄影、摄影后期、人像精修、图片合成；产品设计、产品渲染、结构设计、服装设计、珠宝设计、机械设计；建筑设计、室内设计、家具与软装设计、空间设计、园林景观、公共艺术、城乡规划、工程施工；交互设计、APP设计、动效设计、界面设计、图标设计、游戏UI设计、用户体验研究、原型制作、网页设计、H5设计；以及文本编辑、数据管理、演示文稿设计、思维导图、职场技能分享、微课制作、公众号编辑等。平台提供的相关教学视频总量应不少于30000个。</w:t>
            </w:r>
          </w:p>
          <w:p w14:paraId="274974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25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电子图书资源，主题需覆盖以下专业方向：平面设计、三维设计、计算机辅助设计、摄影后期、影视后期、动画设计、环境艺术设计手绘、服装设计手绘、插画设计手绘、工业设计手绘、字体设计、品牌设计、版式设计、色彩构成、用户界面设计、电商设计、新媒体设计、游戏设计、交互设计、原型设计、用户体验设计、建筑设计、室内设计、景观设计、服装设计、珠宝设计、产品设计、机械设计、数字绘画、造型设计手绘、婚礼设计手绘、网页设计、包装设计、工艺美术设计、手绘POP、国画、书法、水彩画、油画、素描、绘本、版画、文学作品、艺术理论研究、年鉴、钢笔画、作品集、连环画、壁画、乡村振兴设计、家具与软装设计、建筑工程、城市规划、公共艺术、编程设计、照明设计等。电子图书内容应包含基础理论讲解及配套的教学视频资源。</w:t>
            </w:r>
          </w:p>
          <w:p w14:paraId="4066DE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25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提供多种类型的设计素材资源下载服务。素材形式应涵盖办公文档模板（如PPT演示文稿模板、WORD文档模板、EXCEL表格模板）、摄影照片、插画作品、设计矢量元素、创意图片、各类设计源文件模板、手机壁纸与配图、GIF动图等。</w:t>
            </w:r>
          </w:p>
          <w:p w14:paraId="58A1F1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25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eastAsia="zh-CN"/>
              </w:rPr>
              <w:t>具备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在线设计工具，提供至少以下四大功能：基于人工智能的AI绘画生成、在线平面设计编辑、智能去除背景、图片美化与后期处理功能。</w:t>
            </w:r>
          </w:p>
          <w:p w14:paraId="0FDBEE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25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艺术素养提升相关的精品课程，内容应覆盖国画、书法、水彩画、素描与写生、工艺美术、艺术鉴赏、艺术概论等。同时，平台应汇聚国内外知名艺术家的作品，总量不少于50000幅高清艺术作品，并支持原图下载功能，以供学习与研究。</w:t>
            </w:r>
          </w:p>
          <w:p w14:paraId="13C630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25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数字展馆模块，整合各类线上展览资源。展览类型需涵盖美术馆、画廊、艺术家个展、品牌馆、院校作品展、图书馆特展、文化馆展览等七大类以上，累计提供展览数量不少于3000个。</w:t>
            </w:r>
          </w:p>
          <w:p w14:paraId="5E5E00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25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具备移动端适配功能，支持在手机、平板等移动设备上访问和使用核心功能。</w:t>
            </w:r>
          </w:p>
          <w:p w14:paraId="195972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25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电子图书需提供PDF格式文件，具备自动缩放页面以适应屏幕的功能，并提供添加和管理书签的功能。</w:t>
            </w:r>
          </w:p>
          <w:p w14:paraId="0A8712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25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支持基于文本描述生成图片的功能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支持对设计素材进行在线编辑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并允许用户导出编辑后的成果及下载素材的源文件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eastAsia="zh-CN"/>
              </w:rPr>
              <w:t>。</w:t>
            </w:r>
          </w:p>
          <w:p w14:paraId="70BFD3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25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高清的艺术作品，均需提供原图下载功能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eastAsia="zh-CN"/>
              </w:rPr>
              <w:t>。</w:t>
            </w:r>
          </w:p>
          <w:p w14:paraId="316EF0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after="156" w:afterLines="50" w:line="240" w:lineRule="auto"/>
              <w:textAlignment w:val="auto"/>
              <w:outlineLvl w:val="0"/>
              <w:rPr>
                <w:rFonts w:hint="eastAsia" w:cs="Times New Roman" w:asciiTheme="minorEastAsia" w:hAnsiTheme="minorEastAsia" w:eastAsiaTheme="minorEastAsia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商务要求：</w:t>
            </w:r>
          </w:p>
          <w:p w14:paraId="1CCBED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20" w:firstLineChars="200"/>
              <w:textAlignment w:val="auto"/>
              <w:outlineLvl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服务期（服务类采购项目适用）：自合同签署之日起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 5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个工作日内，成交供应商（乙方）应开始为采购人（甲方）提供服务，服务期以合同约定服务时间为准，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lang w:val="en-US" w:eastAsia="zh-CN"/>
              </w:rPr>
              <w:t xml:space="preserve"> 服务期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  1年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。</w:t>
            </w:r>
          </w:p>
          <w:p w14:paraId="5C0774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20" w:firstLineChars="200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售后服务：电话报修后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小时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内售后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服务、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8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小时内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能够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排除故障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，服务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期内以上服务产生的一切费用仅包含在报价（合同价）中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；</w:t>
            </w:r>
          </w:p>
          <w:p w14:paraId="756B3A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20" w:firstLineChars="200"/>
              <w:textAlignment w:val="auto"/>
              <w:outlineLvl w:val="0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服务标准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在项目实施过程及售后服务期内，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提供7×24小时不间断服务。提供至少每年1次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平台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功能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使用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的读者培训。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访问方式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江西陶瓷工艺美术职业技术学院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IP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地址范围自动登入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（无并发限制），支持校外访问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。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项目供应商需指定专人负责与用户保持长期的联系与服务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。供应商需承诺售后壹年（以合同约定服务时间为准） 的硬件和软件上门维护与升级服务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。</w:t>
            </w:r>
          </w:p>
          <w:p w14:paraId="3751CD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20" w:firstLineChars="200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验收标准：经采购人核查、测试，平台正常运行，满足采购合同技术参数要求均达标，试运行合格，即为验收通过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。</w:t>
            </w:r>
          </w:p>
          <w:p w14:paraId="48B52F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20" w:firstLineChars="200"/>
              <w:textAlignment w:val="auto"/>
              <w:outlineLvl w:val="0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付款方式：本项目履约保证金为合同金额的5%（人民币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lang w:val="en-US" w:eastAsia="zh-CN"/>
              </w:rPr>
              <w:t>，￥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lang w:val="en-US" w:eastAsia="zh-CN"/>
              </w:rPr>
              <w:t>）,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  <w:t>合同签订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  <w:t>时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  <w:t>乙方将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  <w:t>履约保证金转至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  <w:t>甲方指定帐户，货到甲方指定使用现场安装、调试、试运行合格并通过验收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  <w:t>后，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  <w:t>乙方按要求开具供货发票，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  <w:t>甲方于收到规范、合格的供货发票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  <w:t>后15个工作日内支付货款的100%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（人民币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lang w:val="en-US" w:eastAsia="zh-CN"/>
              </w:rPr>
              <w:t>，￥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  <w:t>，履约保证金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  <w:t>待履约完成后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  <w:t>无息返还。</w:t>
            </w:r>
          </w:p>
          <w:p w14:paraId="424E11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20" w:firstLineChars="200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  <w:t>知识产权要求：供应商应保护采购人在使用该货物或其任何一部分时不受第 三方提出侵犯专利权、商标权、著作权或其它知识产权起诉的指控。如果任何第 三方提出侵权指控， 供应商须与第三方交涉并承担可能发生的一切法律责任和费 用。因此造成采购人损失的（包括但不限于直接损失及因此产生的商誉损失等间接损失）有权要求供应商予以赔偿。</w:t>
            </w:r>
          </w:p>
          <w:p w14:paraId="6ED0CD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20" w:firstLineChars="200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意识形态要求：供应商承诺数据库不含有下列内容：</w:t>
            </w:r>
          </w:p>
          <w:p w14:paraId="0A2225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(一)反对宪法所确定的基本原则的；</w:t>
            </w:r>
          </w:p>
          <w:p w14:paraId="2AEC27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(二)危害国家安全，泄露国家秘密，颠覆国家政权，破坏国家统一的；</w:t>
            </w:r>
          </w:p>
          <w:p w14:paraId="1B86D4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(三)损害国家荣誉和利益的；</w:t>
            </w:r>
          </w:p>
          <w:p w14:paraId="7E263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(四)歪曲、丑化、亵渎、否定英雄烈士事迹和精神，以侮辱、诽谤或者其他方式侵害英雄烈士的姓名、肖像、名誉、荣誉的；</w:t>
            </w:r>
          </w:p>
          <w:p w14:paraId="6CE78F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(五)宣扬恐怖主义、极端主义或者煽动实施恐怖活动、极端主义活动的；</w:t>
            </w:r>
          </w:p>
          <w:p w14:paraId="28C5FA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(六)煽动民族仇恨、民族歧视，破坏民族团结的；</w:t>
            </w:r>
          </w:p>
          <w:p w14:paraId="47C10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(七)破坏国家宗教政策，宣扬邪教和封建迷信的；</w:t>
            </w:r>
          </w:p>
          <w:p w14:paraId="7F0CE3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(八)散布谣言，扰乱经济秩序和社会秩序的；</w:t>
            </w:r>
          </w:p>
          <w:p w14:paraId="2A1449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(九)散布淫秽、色情、赌博、暴力、凶杀、恐怖或者教唆犯罪的；</w:t>
            </w:r>
          </w:p>
          <w:p w14:paraId="7A88AA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(十)侮辱或者诽谤他人，侵害他人名誉、隐私和其他合法权益的；</w:t>
            </w:r>
          </w:p>
          <w:p w14:paraId="0396A9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(十一)法律、行政法规禁止的其他内容。</w:t>
            </w:r>
          </w:p>
          <w:p w14:paraId="0165AD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(十二)包括并不限于以上内容。</w:t>
            </w:r>
          </w:p>
          <w:p w14:paraId="01BD0A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1545B7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BD7A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70182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供应商名称</w:t>
            </w:r>
          </w:p>
          <w:p w14:paraId="11D58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（盖章）</w:t>
            </w:r>
          </w:p>
        </w:tc>
        <w:tc>
          <w:tcPr>
            <w:tcW w:w="8302" w:type="dxa"/>
            <w:gridSpan w:val="4"/>
            <w:vAlign w:val="center"/>
          </w:tcPr>
          <w:p w14:paraId="1BE15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2E469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7805F1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供应商联系方式（含姓名）</w:t>
            </w:r>
          </w:p>
        </w:tc>
        <w:tc>
          <w:tcPr>
            <w:tcW w:w="8302" w:type="dxa"/>
            <w:gridSpan w:val="4"/>
            <w:vAlign w:val="center"/>
          </w:tcPr>
          <w:p w14:paraId="2A1DE3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3977D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0947E8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响应产品名称及型号规格</w:t>
            </w:r>
          </w:p>
        </w:tc>
        <w:tc>
          <w:tcPr>
            <w:tcW w:w="8302" w:type="dxa"/>
            <w:gridSpan w:val="4"/>
            <w:vAlign w:val="center"/>
          </w:tcPr>
          <w:p w14:paraId="2B5939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77B88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1574A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价格（总价）</w:t>
            </w:r>
          </w:p>
        </w:tc>
        <w:tc>
          <w:tcPr>
            <w:tcW w:w="8302" w:type="dxa"/>
            <w:gridSpan w:val="4"/>
            <w:vAlign w:val="center"/>
          </w:tcPr>
          <w:p w14:paraId="66C5E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人民币：                   整（￥           ）</w:t>
            </w:r>
          </w:p>
        </w:tc>
      </w:tr>
      <w:tr w14:paraId="109FE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56C49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报价日期</w:t>
            </w:r>
          </w:p>
        </w:tc>
        <w:tc>
          <w:tcPr>
            <w:tcW w:w="4671" w:type="dxa"/>
            <w:vAlign w:val="center"/>
          </w:tcPr>
          <w:p w14:paraId="065C37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  <w:tc>
          <w:tcPr>
            <w:tcW w:w="1532" w:type="dxa"/>
            <w:gridSpan w:val="2"/>
            <w:vAlign w:val="center"/>
          </w:tcPr>
          <w:p w14:paraId="54A31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产地</w:t>
            </w:r>
          </w:p>
        </w:tc>
        <w:tc>
          <w:tcPr>
            <w:tcW w:w="2099" w:type="dxa"/>
            <w:vAlign w:val="center"/>
          </w:tcPr>
          <w:p w14:paraId="7FF97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65A4D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  <w:jc w:val="center"/>
        </w:trPr>
        <w:tc>
          <w:tcPr>
            <w:tcW w:w="2002" w:type="dxa"/>
          </w:tcPr>
          <w:p w14:paraId="7FF8D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其他需要说明事项</w:t>
            </w:r>
          </w:p>
        </w:tc>
        <w:tc>
          <w:tcPr>
            <w:tcW w:w="8302" w:type="dxa"/>
            <w:gridSpan w:val="4"/>
          </w:tcPr>
          <w:p w14:paraId="0C5E7F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以上报价含增值税税金、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Hans"/>
              </w:rPr>
              <w:t>运输、安装、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调试、相关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  <w:t>辅材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等确保设备（服务）能在采购方指定地点正常使用的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Hans"/>
              </w:rPr>
              <w:t>所有费用。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</w:p>
        </w:tc>
      </w:tr>
    </w:tbl>
    <w:p w14:paraId="3496D4B5">
      <w:pPr>
        <w:rPr>
          <w:rFonts w:hint="eastAsia"/>
          <w:lang w:val="en-US" w:eastAsia="zh-Hans"/>
        </w:rPr>
      </w:pPr>
    </w:p>
    <w:sectPr>
      <w:pgSz w:w="11906" w:h="16838"/>
      <w:pgMar w:top="567" w:right="567" w:bottom="1134" w:left="1134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27F452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FB5A69">
                          <w:pPr>
                            <w:pStyle w:val="7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FB5A69">
                    <w:pPr>
                      <w:pStyle w:val="7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4B119B"/>
    <w:multiLevelType w:val="singleLevel"/>
    <w:tmpl w:val="464B119B"/>
    <w:lvl w:ilvl="0" w:tentative="0">
      <w:start w:val="1"/>
      <w:numFmt w:val="decimal"/>
      <w:suff w:val="space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7B78A24B"/>
    <w:multiLevelType w:val="singleLevel"/>
    <w:tmpl w:val="7B78A24B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RiY2UyZDlkYTBhODY5ODI5NmQwNTkyNDEwNzI5MGIifQ=="/>
  </w:docVars>
  <w:rsids>
    <w:rsidRoot w:val="EFF72C7D"/>
    <w:rsid w:val="01BB0249"/>
    <w:rsid w:val="0382186E"/>
    <w:rsid w:val="04127755"/>
    <w:rsid w:val="04692995"/>
    <w:rsid w:val="079C7C1B"/>
    <w:rsid w:val="07FA2A2F"/>
    <w:rsid w:val="08731DFE"/>
    <w:rsid w:val="08A22DF9"/>
    <w:rsid w:val="0A3E36F7"/>
    <w:rsid w:val="0AAF0151"/>
    <w:rsid w:val="0E203DD9"/>
    <w:rsid w:val="0F660ABF"/>
    <w:rsid w:val="10B244F7"/>
    <w:rsid w:val="11020FDA"/>
    <w:rsid w:val="12313CD8"/>
    <w:rsid w:val="1C912010"/>
    <w:rsid w:val="1E0B2E02"/>
    <w:rsid w:val="1EEA728B"/>
    <w:rsid w:val="1F7A2BE0"/>
    <w:rsid w:val="1FB90D1A"/>
    <w:rsid w:val="22711EDF"/>
    <w:rsid w:val="22857CBD"/>
    <w:rsid w:val="23290648"/>
    <w:rsid w:val="269229A8"/>
    <w:rsid w:val="28BE243F"/>
    <w:rsid w:val="290C6A42"/>
    <w:rsid w:val="297A6B15"/>
    <w:rsid w:val="2F0B32F8"/>
    <w:rsid w:val="2FF21F37"/>
    <w:rsid w:val="33786E92"/>
    <w:rsid w:val="33D650F8"/>
    <w:rsid w:val="35923F8F"/>
    <w:rsid w:val="377E068C"/>
    <w:rsid w:val="37BB13D7"/>
    <w:rsid w:val="39900FC9"/>
    <w:rsid w:val="3ABE56C2"/>
    <w:rsid w:val="3C365148"/>
    <w:rsid w:val="3E6F5651"/>
    <w:rsid w:val="3F492F53"/>
    <w:rsid w:val="3F6E3B5B"/>
    <w:rsid w:val="3FC04CF7"/>
    <w:rsid w:val="403A3A3D"/>
    <w:rsid w:val="449D26A9"/>
    <w:rsid w:val="45605CF4"/>
    <w:rsid w:val="47BA236B"/>
    <w:rsid w:val="4AB368C6"/>
    <w:rsid w:val="4FE44606"/>
    <w:rsid w:val="51C413B8"/>
    <w:rsid w:val="54C65448"/>
    <w:rsid w:val="55D078AC"/>
    <w:rsid w:val="562763BA"/>
    <w:rsid w:val="56310D0D"/>
    <w:rsid w:val="563B456B"/>
    <w:rsid w:val="59213594"/>
    <w:rsid w:val="5AAE0E58"/>
    <w:rsid w:val="5B9677F0"/>
    <w:rsid w:val="5D4810F0"/>
    <w:rsid w:val="5F03032F"/>
    <w:rsid w:val="5F544B52"/>
    <w:rsid w:val="60C82547"/>
    <w:rsid w:val="64FE1110"/>
    <w:rsid w:val="67C95523"/>
    <w:rsid w:val="689A2A1B"/>
    <w:rsid w:val="68F35F86"/>
    <w:rsid w:val="69E209E0"/>
    <w:rsid w:val="6D254C02"/>
    <w:rsid w:val="6E6F600F"/>
    <w:rsid w:val="766905FD"/>
    <w:rsid w:val="766F65BB"/>
    <w:rsid w:val="77F42148"/>
    <w:rsid w:val="78AC657F"/>
    <w:rsid w:val="7A181A24"/>
    <w:rsid w:val="7AAC05DE"/>
    <w:rsid w:val="7AF1296F"/>
    <w:rsid w:val="7AFB1A3F"/>
    <w:rsid w:val="7C4B60AF"/>
    <w:rsid w:val="7E6E38C7"/>
    <w:rsid w:val="7F2C666B"/>
    <w:rsid w:val="7F552F1F"/>
    <w:rsid w:val="7FF13B9D"/>
    <w:rsid w:val="DF8BBB0F"/>
    <w:rsid w:val="EF8FC362"/>
    <w:rsid w:val="EFF72C7D"/>
    <w:rsid w:val="FB7FE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widowControl/>
      <w:spacing w:before="400" w:after="200" w:line="252" w:lineRule="auto"/>
      <w:jc w:val="center"/>
      <w:outlineLvl w:val="0"/>
    </w:pPr>
    <w:rPr>
      <w:rFonts w:asciiTheme="majorHAnsi" w:hAnsiTheme="majorHAnsi" w:eastAsiaTheme="majorEastAsia" w:cstheme="majorBidi"/>
      <w:b/>
      <w:caps/>
      <w:color w:val="000000" w:themeColor="text1"/>
      <w:spacing w:val="20"/>
      <w:kern w:val="0"/>
      <w:szCs w:val="28"/>
      <w14:textFill>
        <w14:solidFill>
          <w14:schemeClr w14:val="tx1"/>
        </w14:solidFill>
      </w14:textFill>
    </w:rPr>
  </w:style>
  <w:style w:type="paragraph" w:styleId="3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5"/>
    <w:qFormat/>
    <w:uiPriority w:val="0"/>
    <w:pPr>
      <w:spacing w:after="120"/>
    </w:pPr>
  </w:style>
  <w:style w:type="paragraph" w:styleId="5">
    <w:name w:val="Body Text 2"/>
    <w:basedOn w:val="1"/>
    <w:qFormat/>
    <w:uiPriority w:val="0"/>
    <w:pPr>
      <w:spacing w:line="480" w:lineRule="auto"/>
    </w:pPr>
    <w:rPr>
      <w:rFonts w:ascii="Calibri" w:hAnsi="Calibri" w:cs="黑体"/>
    </w:rPr>
  </w:style>
  <w:style w:type="paragraph" w:styleId="6">
    <w:name w:val="Body Text Indent"/>
    <w:basedOn w:val="1"/>
    <w:next w:val="1"/>
    <w:qFormat/>
    <w:uiPriority w:val="0"/>
    <w:pPr>
      <w:widowControl/>
      <w:autoSpaceDE w:val="0"/>
      <w:autoSpaceDN w:val="0"/>
      <w:snapToGrid w:val="0"/>
      <w:spacing w:before="120" w:beforeLines="0" w:line="400" w:lineRule="atLeast"/>
      <w:ind w:firstLine="570"/>
      <w:textAlignment w:val="bottom"/>
    </w:pPr>
    <w:rPr>
      <w:rFonts w:ascii="宋体"/>
      <w:kern w:val="0"/>
      <w:sz w:val="24"/>
      <w:szCs w:val="20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 2"/>
    <w:basedOn w:val="6"/>
    <w:next w:val="1"/>
    <w:qFormat/>
    <w:uiPriority w:val="0"/>
    <w:pPr>
      <w:tabs>
        <w:tab w:val="left" w:pos="0"/>
        <w:tab w:val="left" w:pos="1260"/>
        <w:tab w:val="left" w:pos="1365"/>
      </w:tabs>
      <w:ind w:firstLine="420"/>
    </w:pPr>
    <w:rPr>
      <w:rFonts w:ascii="Times New Roman" w:hAnsi="Times New Roman" w:eastAsia="宋体" w:cs="Times New Roman"/>
    </w:rPr>
  </w:style>
  <w:style w:type="table" w:styleId="12">
    <w:name w:val="Table Grid"/>
    <w:basedOn w:val="11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Normal Indent1"/>
    <w:basedOn w:val="1"/>
    <w:qFormat/>
    <w:uiPriority w:val="0"/>
    <w:pPr>
      <w:ind w:firstLine="420" w:firstLineChars="200"/>
    </w:pPr>
  </w:style>
  <w:style w:type="character" w:customStyle="1" w:styleId="15">
    <w:name w:val="font61"/>
    <w:basedOn w:val="13"/>
    <w:qFormat/>
    <w:uiPriority w:val="0"/>
    <w:rPr>
      <w:rFonts w:hint="eastAsia" w:ascii="仿宋_GB2312" w:eastAsia="仿宋_GB2312" w:cs="仿宋_GB2312"/>
      <w:color w:val="C00000"/>
      <w:sz w:val="24"/>
      <w:szCs w:val="24"/>
      <w:u w:val="none"/>
    </w:rPr>
  </w:style>
  <w:style w:type="paragraph" w:customStyle="1" w:styleId="16">
    <w:name w:val="首行缩进"/>
    <w:basedOn w:val="1"/>
    <w:qFormat/>
    <w:uiPriority w:val="0"/>
    <w:pPr>
      <w:widowControl w:val="0"/>
      <w:spacing w:line="240" w:lineRule="auto"/>
      <w:ind w:firstLine="480" w:firstLineChars="200"/>
      <w:jc w:val="both"/>
    </w:pPr>
    <w:rPr>
      <w:rFonts w:ascii="Times New Roman" w:hAnsi="Times New Roman" w:eastAsia="宋体"/>
      <w:kern w:val="2"/>
      <w:sz w:val="21"/>
      <w:lang w:eastAsia="zh-CN" w:bidi="ar-SA"/>
    </w:rPr>
  </w:style>
  <w:style w:type="character" w:customStyle="1" w:styleId="17">
    <w:name w:val="font31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8">
    <w:name w:val="font71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19">
    <w:name w:val="font21"/>
    <w:basedOn w:val="13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20">
    <w:name w:val="font81"/>
    <w:basedOn w:val="13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3007</Words>
  <Characters>3134</Characters>
  <Lines>0</Lines>
  <Paragraphs>0</Paragraphs>
  <TotalTime>0</TotalTime>
  <ScaleCrop>false</ScaleCrop>
  <LinksUpToDate>false</LinksUpToDate>
  <CharactersWithSpaces>3216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2022-10-22T03:30:00Z</dcterms:created>
  <dc:creator>盛装出席</dc:creator>
  <cp:lastModifiedBy>胡荣华</cp:lastModifiedBy>
  <cp:lastPrinted>2026-03-25T01:55:17Z</cp:lastPrinted>
  <dcterms:modified xsi:type="dcterms:W3CDTF">2026-03-25T02:20:40Z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AF3A9D3BC21441B3B967BC75F040D26C_13</vt:lpwstr>
  </property>
  <property fmtid="{D5CDD505-2E9C-101B-9397-08002B2CF9AE}" pid="4" name="KSOTemplateDocerSaveRecord">
    <vt:lpwstr>eyJoZGlkIjoiZDgyMjQwOTIwN2UwZWJjYzM2MDEyMGVkMmFlMjI1MjkiLCJ1c2VySWQiOiIxNjYzMzIxNjM5In0=</vt:lpwstr>
  </property>
</Properties>
</file>